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5BD1" w14:textId="0C511259" w:rsidR="00DB1289" w:rsidRPr="00063FE6" w:rsidRDefault="00DB1289" w:rsidP="00DB128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Njoftim për vend vakant Accountant</w:t>
      </w:r>
      <w:r w:rsidR="00757276">
        <w:rPr>
          <w:rFonts w:cstheme="minorHAnsi"/>
          <w:b/>
          <w:sz w:val="24"/>
          <w:szCs w:val="24"/>
        </w:rPr>
        <w:t xml:space="preserve"> Specialist</w:t>
      </w:r>
    </w:p>
    <w:tbl>
      <w:tblPr>
        <w:tblW w:w="9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84"/>
        <w:gridCol w:w="4407"/>
        <w:gridCol w:w="2115"/>
        <w:gridCol w:w="235"/>
      </w:tblGrid>
      <w:tr w:rsidR="00DB1289" w:rsidRPr="0058303F" w14:paraId="4B1BA9B0" w14:textId="77777777" w:rsidTr="00F64509">
        <w:tc>
          <w:tcPr>
            <w:tcW w:w="2284" w:type="dxa"/>
            <w:tcBorders>
              <w:right w:val="single" w:sz="4" w:space="0" w:color="auto"/>
            </w:tcBorders>
            <w:shd w:val="clear" w:color="auto" w:fill="F5862B"/>
          </w:tcPr>
          <w:p w14:paraId="53204E2C" w14:textId="77777777" w:rsidR="00DB1289" w:rsidRPr="00063FE6" w:rsidRDefault="00DB1289" w:rsidP="00F64509">
            <w:pPr>
              <w:pStyle w:val="CommentSubject"/>
              <w:spacing w:before="30" w:after="30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DEPARTAMENT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3C188" w14:textId="77777777" w:rsidR="00DB1289" w:rsidRPr="0058303F" w:rsidRDefault="00DB1289" w:rsidP="00F64509">
            <w:pPr>
              <w:pStyle w:val="CommentSubject"/>
              <w:spacing w:before="30" w:after="30"/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de-AT"/>
              </w:rPr>
              <w:t>FINANCE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044631" w14:textId="77777777" w:rsidR="00DB1289" w:rsidRPr="0058303F" w:rsidRDefault="00DB1289" w:rsidP="00F64509">
            <w:pPr>
              <w:spacing w:before="30" w:after="30"/>
              <w:rPr>
                <w:rFonts w:cstheme="minorHAnsi"/>
                <w:sz w:val="24"/>
                <w:szCs w:val="24"/>
                <w:lang w:val="de-AT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579B9" w14:textId="77777777" w:rsidR="00DB1289" w:rsidRPr="0058303F" w:rsidRDefault="00DB1289" w:rsidP="00F64509">
            <w:pPr>
              <w:spacing w:before="30" w:after="30"/>
              <w:rPr>
                <w:rFonts w:cstheme="minorHAnsi"/>
                <w:i/>
                <w:iCs/>
                <w:color w:val="3366FF"/>
                <w:sz w:val="24"/>
                <w:szCs w:val="24"/>
                <w:lang w:val="de-AT"/>
              </w:rPr>
            </w:pPr>
          </w:p>
        </w:tc>
      </w:tr>
      <w:tr w:rsidR="00DB1289" w:rsidRPr="0058303F" w14:paraId="79D1E4E2" w14:textId="77777777" w:rsidTr="00F64509">
        <w:tc>
          <w:tcPr>
            <w:tcW w:w="2284" w:type="dxa"/>
            <w:tcBorders>
              <w:right w:val="single" w:sz="4" w:space="0" w:color="auto"/>
            </w:tcBorders>
            <w:shd w:val="clear" w:color="auto" w:fill="F5862B"/>
          </w:tcPr>
          <w:p w14:paraId="7F49ABF6" w14:textId="77777777" w:rsidR="00DB1289" w:rsidRPr="00063FE6" w:rsidRDefault="00DB1289" w:rsidP="00F64509">
            <w:pPr>
              <w:pStyle w:val="CommentSubject"/>
              <w:spacing w:before="30" w:after="30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Orari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6F334" w14:textId="77777777" w:rsidR="00DB1289" w:rsidRPr="0058303F" w:rsidRDefault="00DB1289" w:rsidP="00F64509">
            <w:pPr>
              <w:pStyle w:val="CommentSubject"/>
              <w:spacing w:before="30" w:after="30"/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de-AT"/>
              </w:rPr>
              <w:t>Full Time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BCEF07" w14:textId="77777777" w:rsidR="00DB1289" w:rsidRPr="0058303F" w:rsidRDefault="00DB1289" w:rsidP="00F64509">
            <w:pPr>
              <w:spacing w:before="30" w:after="30"/>
              <w:rPr>
                <w:rFonts w:cstheme="minorHAnsi"/>
                <w:sz w:val="24"/>
                <w:szCs w:val="24"/>
                <w:lang w:val="de-AT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AB0EA" w14:textId="77777777" w:rsidR="00DB1289" w:rsidRPr="0058303F" w:rsidRDefault="00DB1289" w:rsidP="00F64509">
            <w:pPr>
              <w:spacing w:before="30" w:after="30"/>
              <w:rPr>
                <w:rFonts w:cstheme="minorHAnsi"/>
                <w:i/>
                <w:iCs/>
                <w:color w:val="3366FF"/>
                <w:sz w:val="24"/>
                <w:szCs w:val="24"/>
                <w:lang w:val="de-AT"/>
              </w:rPr>
            </w:pPr>
          </w:p>
        </w:tc>
      </w:tr>
    </w:tbl>
    <w:p w14:paraId="0446B72E" w14:textId="77777777" w:rsidR="00DB1289" w:rsidRDefault="00DB1289" w:rsidP="00DB1289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F6FA444" w14:textId="4CB2D453" w:rsidR="00166DB5" w:rsidRPr="00166DB5" w:rsidRDefault="00166DB5" w:rsidP="00166DB5">
      <w:pPr>
        <w:rPr>
          <w:lang w:val="en-US"/>
        </w:rPr>
      </w:pPr>
      <w:r w:rsidRPr="00166DB5">
        <w:rPr>
          <w:lang w:val="en-US"/>
        </w:rPr>
        <w:t>Jeni në fillim të karrierës suaj në financë dhe dëshironi të zhvilloheni në një ambient profesional dhe dinamik? Atëherë kjo mundësi është për ju!</w:t>
      </w:r>
    </w:p>
    <w:p w14:paraId="2CAED9AE" w14:textId="7EA60E8F" w:rsidR="00166DB5" w:rsidRDefault="00383A83" w:rsidP="00166DB5">
      <w:pPr>
        <w:rPr>
          <w:b/>
          <w:bCs/>
          <w:lang w:val="en-US"/>
        </w:rPr>
      </w:pPr>
      <w:r w:rsidRPr="00383A83">
        <w:rPr>
          <w:b/>
          <w:bCs/>
          <w:lang w:val="en-US"/>
        </w:rPr>
        <w:t>Rreth EasyPay:</w:t>
      </w:r>
    </w:p>
    <w:p w14:paraId="6F845451" w14:textId="77777777" w:rsidR="00584AF0" w:rsidRPr="00584AF0" w:rsidRDefault="00584AF0" w:rsidP="00584AF0">
      <w:pPr>
        <w:rPr>
          <w:lang w:val="en-US"/>
        </w:rPr>
      </w:pPr>
      <w:r w:rsidRPr="00584AF0">
        <w:rPr>
          <w:lang w:val="en-US"/>
        </w:rPr>
        <w:t>Njerëzit meritojnë më shumë nga paratë e tyre – më shumë transparencë, më shumë menaxhim dhe më shumë mundësi. Që nga viti 2010, EasyPay është në një mision për të ofruar pikërisht këtë. Ne jemi platforma më gjithëpërfshirëse e pagesave dixhitale në Shqipëri, duke i ndihmuar individët dhe bizneset të paguajnë, të marrin pagesa, të shpenzojnë dhe të transferojnë para në mënyrë të thjeshtë dhe të sigurt.</w:t>
      </w:r>
    </w:p>
    <w:p w14:paraId="42A38D41" w14:textId="4A7B9C04" w:rsidR="00584AF0" w:rsidRPr="00584AF0" w:rsidRDefault="00584AF0" w:rsidP="00584AF0">
      <w:pPr>
        <w:rPr>
          <w:lang w:val="en-US"/>
        </w:rPr>
      </w:pPr>
      <w:r w:rsidRPr="00584AF0">
        <w:rPr>
          <w:lang w:val="en-US"/>
        </w:rPr>
        <w:t xml:space="preserve">Suksesi ynë qëndron </w:t>
      </w:r>
      <w:r w:rsidR="00B43701">
        <w:rPr>
          <w:lang w:val="en-US"/>
        </w:rPr>
        <w:t>në</w:t>
      </w:r>
      <w:r w:rsidRPr="00584AF0">
        <w:rPr>
          <w:lang w:val="en-US"/>
        </w:rPr>
        <w:t xml:space="preserve"> dy elementë thelbësorë: ekipi dhe kultura jonë. Me një ekip të përkushtuar prej mbi 60 profesionistësh jemi duke punuar qe të arrijmë misionin tonë. </w:t>
      </w:r>
      <w:r w:rsidR="00885532">
        <w:rPr>
          <w:lang w:val="en-US"/>
        </w:rPr>
        <w:t>N</w:t>
      </w:r>
      <w:r w:rsidRPr="00584AF0">
        <w:rPr>
          <w:lang w:val="en-US"/>
        </w:rPr>
        <w:t>e jemi në kërkim të individëve të shkëlqyer qe duan te krijojne produkte financiare revolucionare dhe te ndërtojne të ardhmen e shërbimeve financiare në Shqiperi dhe rajon.</w:t>
      </w:r>
    </w:p>
    <w:p w14:paraId="269040C8" w14:textId="77777777" w:rsidR="00383A83" w:rsidRPr="00166DB5" w:rsidRDefault="00383A83" w:rsidP="00166DB5">
      <w:pPr>
        <w:rPr>
          <w:b/>
          <w:bCs/>
          <w:lang w:val="en-US"/>
        </w:rPr>
      </w:pPr>
    </w:p>
    <w:p w14:paraId="4AE1BB62" w14:textId="77777777" w:rsidR="00166DB5" w:rsidRPr="00166DB5" w:rsidRDefault="00166DB5" w:rsidP="00166DB5">
      <w:pPr>
        <w:rPr>
          <w:lang w:val="en-US"/>
        </w:rPr>
      </w:pPr>
      <w:r w:rsidRPr="00166DB5">
        <w:rPr>
          <w:b/>
          <w:bCs/>
          <w:lang w:val="en-US"/>
        </w:rPr>
        <w:t>Detyrat kryesore:</w:t>
      </w:r>
    </w:p>
    <w:p w14:paraId="50DE69E7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Regjistrimi i faturave dhe dokumentacionit financiar</w:t>
      </w:r>
    </w:p>
    <w:p w14:paraId="7F91B1CF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Rakordime bankare dhe ndjekja e pagesave</w:t>
      </w:r>
    </w:p>
    <w:p w14:paraId="135F4BD0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Mbështetje në përgatitjen e raporteve mujore</w:t>
      </w:r>
    </w:p>
    <w:p w14:paraId="49EC168C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Asistencë në mbylljet periodike</w:t>
      </w:r>
    </w:p>
    <w:p w14:paraId="0129C43E" w14:textId="491FD40F" w:rsid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 xml:space="preserve">Bashkëpunim me ekipin financiar dhe </w:t>
      </w:r>
      <w:r w:rsidR="00617662">
        <w:rPr>
          <w:lang w:val="en-US"/>
        </w:rPr>
        <w:t>administrative</w:t>
      </w:r>
    </w:p>
    <w:p w14:paraId="2FB240E6" w14:textId="77777777" w:rsidR="00617662" w:rsidRDefault="00617662" w:rsidP="00617662">
      <w:pPr>
        <w:pStyle w:val="NoSpacing"/>
        <w:ind w:left="720"/>
        <w:rPr>
          <w:lang w:val="en-US"/>
        </w:rPr>
      </w:pPr>
    </w:p>
    <w:p w14:paraId="435B2B17" w14:textId="77777777" w:rsidR="00617662" w:rsidRDefault="00617662" w:rsidP="00617662">
      <w:pPr>
        <w:pStyle w:val="NoSpacing"/>
        <w:ind w:left="720"/>
        <w:rPr>
          <w:lang w:val="en-US"/>
        </w:rPr>
      </w:pPr>
    </w:p>
    <w:p w14:paraId="1F684830" w14:textId="77777777" w:rsidR="00617662" w:rsidRPr="00166DB5" w:rsidRDefault="00617662" w:rsidP="00617662">
      <w:pPr>
        <w:pStyle w:val="NoSpacing"/>
        <w:ind w:left="720"/>
        <w:rPr>
          <w:lang w:val="en-US"/>
        </w:rPr>
      </w:pPr>
    </w:p>
    <w:p w14:paraId="3A5A27A9" w14:textId="77777777" w:rsidR="00166DB5" w:rsidRPr="00166DB5" w:rsidRDefault="00166DB5" w:rsidP="00166DB5">
      <w:pPr>
        <w:rPr>
          <w:lang w:val="en-US"/>
        </w:rPr>
      </w:pPr>
      <w:r w:rsidRPr="00166DB5">
        <w:rPr>
          <w:b/>
          <w:bCs/>
          <w:lang w:val="en-US"/>
        </w:rPr>
        <w:t>Kërkesat:</w:t>
      </w:r>
    </w:p>
    <w:p w14:paraId="6EFD8204" w14:textId="77777777" w:rsidR="00617662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Diplomë në Kontabilitet, Financë ose fushë të ngjashme</w:t>
      </w:r>
    </w:p>
    <w:p w14:paraId="65A33774" w14:textId="77777777" w:rsidR="00617662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617662">
        <w:rPr>
          <w:lang w:val="en-US"/>
        </w:rPr>
        <w:t>Njohuri bazë të kontabilitetit dhe legjislacionit tatimor</w:t>
      </w:r>
    </w:p>
    <w:p w14:paraId="53AD04F0" w14:textId="77777777" w:rsidR="00617662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617662">
        <w:rPr>
          <w:lang w:val="en-US"/>
        </w:rPr>
        <w:t>Minimumi 1 vit pervoje pune ose praktike profesionale. </w:t>
      </w:r>
    </w:p>
    <w:p w14:paraId="12BFC95D" w14:textId="77777777" w:rsidR="00617662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617662">
        <w:rPr>
          <w:lang w:val="en-US"/>
        </w:rPr>
        <w:t>Aftësi shumë të mira organizative dhe vëmendje ndaj detajeve</w:t>
      </w:r>
    </w:p>
    <w:p w14:paraId="0D101CF1" w14:textId="210D353B" w:rsid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617662">
        <w:rPr>
          <w:lang w:val="en-US"/>
        </w:rPr>
        <w:t>Njohuri të mira të MS Excel.</w:t>
      </w:r>
    </w:p>
    <w:p w14:paraId="32739B89" w14:textId="77777777" w:rsidR="00617662" w:rsidRPr="00617662" w:rsidRDefault="00617662" w:rsidP="00617662">
      <w:pPr>
        <w:pStyle w:val="NoSpacing"/>
        <w:ind w:left="720"/>
        <w:rPr>
          <w:lang w:val="en-US"/>
        </w:rPr>
      </w:pPr>
    </w:p>
    <w:p w14:paraId="5D7E19B5" w14:textId="77777777" w:rsidR="006E6926" w:rsidRDefault="006E6926" w:rsidP="00166DB5">
      <w:pPr>
        <w:rPr>
          <w:b/>
          <w:bCs/>
          <w:lang w:val="en-US"/>
        </w:rPr>
      </w:pPr>
    </w:p>
    <w:p w14:paraId="11D5EF35" w14:textId="77777777" w:rsidR="006E6926" w:rsidRDefault="006E6926" w:rsidP="00166DB5">
      <w:pPr>
        <w:rPr>
          <w:b/>
          <w:bCs/>
          <w:lang w:val="en-US"/>
        </w:rPr>
      </w:pPr>
    </w:p>
    <w:p w14:paraId="3E330C63" w14:textId="49AD20F3" w:rsidR="00166DB5" w:rsidRPr="00166DB5" w:rsidRDefault="00166DB5" w:rsidP="00166DB5">
      <w:pPr>
        <w:rPr>
          <w:lang w:val="en-US"/>
        </w:rPr>
      </w:pPr>
      <w:r w:rsidRPr="00166DB5">
        <w:rPr>
          <w:b/>
          <w:bCs/>
          <w:lang w:val="en-US"/>
        </w:rPr>
        <w:lastRenderedPageBreak/>
        <w:t>Ne ofrojmë:</w:t>
      </w:r>
    </w:p>
    <w:p w14:paraId="476F0CB4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Një mundësi e shkëlqyer për zhvillim personal. Në departamentin e finances, ne jemi një ekip i vogël dhe besojmë se është vendi i përsosur për t'u rritur dhe mësuar.</w:t>
      </w:r>
    </w:p>
    <w:p w14:paraId="0A472DF6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Mundësi për të sjellë ide të reja në një ekip ku nuk do të dëgjoni kurrë shprehjen "... sepse kështu i kemi bërë gjithmonë gjërat më përpara".</w:t>
      </w:r>
    </w:p>
    <w:p w14:paraId="67BADE4D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Zyra jonë në Tiranë ndodhet direkt në zonën Komunes se Parisit, shumë afër dhe e aksesueshme nga kudo.</w:t>
      </w:r>
    </w:p>
    <w:p w14:paraId="06EF2910" w14:textId="77777777" w:rsidR="00166DB5" w:rsidRPr="00166DB5" w:rsidRDefault="00166DB5" w:rsidP="00617662">
      <w:pPr>
        <w:pStyle w:val="NoSpacing"/>
        <w:numPr>
          <w:ilvl w:val="0"/>
          <w:numId w:val="4"/>
        </w:numPr>
        <w:rPr>
          <w:lang w:val="en-US"/>
        </w:rPr>
      </w:pPr>
      <w:r w:rsidRPr="00166DB5">
        <w:rPr>
          <w:lang w:val="en-US"/>
        </w:rPr>
        <w:t>Paketë konkurruese kompensimi dhe benefite shtese sipas politikave te kompanise. </w:t>
      </w:r>
    </w:p>
    <w:p w14:paraId="7FF7B5BC" w14:textId="7A48CD57" w:rsidR="00455381" w:rsidRDefault="00455381"/>
    <w:p w14:paraId="51E728C1" w14:textId="77777777" w:rsidR="00584AF0" w:rsidRDefault="00584AF0" w:rsidP="00584AF0">
      <w:p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r w:rsidRPr="00AB204E">
        <w:rPr>
          <w:rFonts w:cstheme="minorHAnsi"/>
          <w:sz w:val="24"/>
          <w:szCs w:val="24"/>
          <w:lang w:val="en-US"/>
        </w:rPr>
        <w:t>Personat e interesuar duhet të dërgojnë dërgojnë CV-në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AB204E">
        <w:rPr>
          <w:rFonts w:cstheme="minorHAnsi"/>
          <w:sz w:val="24"/>
          <w:szCs w:val="24"/>
          <w:lang w:val="en-US"/>
        </w:rPr>
        <w:t>në adresën e-mail: </w:t>
      </w:r>
      <w:hyperlink r:id="rId8" w:history="1">
        <w:r w:rsidRPr="00DE1444">
          <w:rPr>
            <w:rStyle w:val="Hyperlink"/>
            <w:rFonts w:cstheme="minorHAnsi"/>
            <w:sz w:val="24"/>
            <w:szCs w:val="24"/>
            <w:lang w:val="en-US"/>
          </w:rPr>
          <w:t>hr@easypay.al</w:t>
        </w:r>
      </w:hyperlink>
    </w:p>
    <w:p w14:paraId="2C136302" w14:textId="77777777" w:rsidR="00584AF0" w:rsidRPr="00B5522D" w:rsidRDefault="00584AF0" w:rsidP="00584AF0">
      <w:pPr>
        <w:rPr>
          <w:rFonts w:eastAsia="Times New Roman" w:cstheme="minorHAnsi"/>
          <w:i/>
          <w:iCs/>
          <w:sz w:val="24"/>
          <w:szCs w:val="24"/>
          <w:lang w:val="en-US"/>
        </w:rPr>
      </w:pPr>
      <w:r w:rsidRPr="00B5522D">
        <w:rPr>
          <w:rFonts w:eastAsia="Times New Roman" w:cstheme="minorHAnsi"/>
          <w:i/>
          <w:iCs/>
          <w:sz w:val="24"/>
          <w:szCs w:val="24"/>
          <w:lang w:val="en-US"/>
        </w:rPr>
        <w:t>Të gjitha për aplikimet do të trajtohen në konfidencialitet të plotë. Bazuar në ligjin Nr.9887, datë 10.03.2008 “Për mbrojtjen e të dhënave personale”, neni 12 -17, informacioni personal i depozituar për aplikimin punësim do të përdoret vetëm për këtë qëllim.</w:t>
      </w:r>
    </w:p>
    <w:p w14:paraId="7ECA16F8" w14:textId="13B014E4" w:rsidR="00584AF0" w:rsidRDefault="00584AF0" w:rsidP="00584AF0">
      <w:p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r w:rsidRPr="00AB204E">
        <w:rPr>
          <w:rFonts w:cstheme="minorHAnsi"/>
          <w:sz w:val="24"/>
          <w:szCs w:val="24"/>
          <w:lang w:val="en-US"/>
        </w:rPr>
        <w:t>Ju informojmë se vetëm kandidatët e përzgjedhur do të kontaktohen nga Departamenti i Burimeve Njerëzore</w:t>
      </w:r>
      <w:r w:rsidR="00CD6335">
        <w:rPr>
          <w:rFonts w:cstheme="minorHAnsi"/>
          <w:sz w:val="24"/>
          <w:szCs w:val="24"/>
          <w:lang w:val="en-US"/>
        </w:rPr>
        <w:t>, ju</w:t>
      </w:r>
      <w:r>
        <w:rPr>
          <w:rFonts w:cstheme="minorHAnsi"/>
          <w:sz w:val="24"/>
          <w:szCs w:val="24"/>
          <w:lang w:val="en-US"/>
        </w:rPr>
        <w:t xml:space="preserve"> mir</w:t>
      </w:r>
      <w:r w:rsidRPr="00063FE6">
        <w:rPr>
          <w:rFonts w:cstheme="minorHAnsi"/>
          <w:sz w:val="24"/>
          <w:szCs w:val="24"/>
          <w:lang w:val="en-US"/>
        </w:rPr>
        <w:t>ë</w:t>
      </w:r>
      <w:r>
        <w:rPr>
          <w:rFonts w:cstheme="minorHAnsi"/>
          <w:sz w:val="24"/>
          <w:szCs w:val="24"/>
          <w:lang w:val="en-US"/>
        </w:rPr>
        <w:t>presim!</w:t>
      </w:r>
    </w:p>
    <w:p w14:paraId="409C9404" w14:textId="77777777" w:rsidR="00584AF0" w:rsidRDefault="00584AF0"/>
    <w:p w14:paraId="63BDC80D" w14:textId="77777777" w:rsidR="00D05091" w:rsidRDefault="00D05091" w:rsidP="00D05091"/>
    <w:p w14:paraId="63938294" w14:textId="6A878DAA" w:rsidR="00F86D16" w:rsidRPr="006929CF" w:rsidRDefault="00D05091" w:rsidP="00F86D16">
      <w:pPr>
        <w:spacing w:after="160" w:line="259" w:lineRule="auto"/>
        <w:jc w:val="right"/>
        <w:rPr>
          <w:rFonts w:cstheme="minorHAnsi"/>
          <w:b/>
          <w:bCs/>
          <w:i/>
          <w:iCs/>
          <w:sz w:val="24"/>
          <w:szCs w:val="24"/>
          <w:lang w:val="en-US"/>
        </w:rPr>
      </w:pPr>
      <w:r>
        <w:tab/>
      </w:r>
      <w:r w:rsidR="00F86D16" w:rsidRPr="000F78DF">
        <w:rPr>
          <w:rFonts w:cstheme="minorHAnsi"/>
          <w:b/>
          <w:bCs/>
          <w:sz w:val="24"/>
          <w:szCs w:val="24"/>
          <w:lang w:val="en-US"/>
        </w:rPr>
        <w:t xml:space="preserve">Afati </w:t>
      </w:r>
      <w:r w:rsidR="007C3C40">
        <w:rPr>
          <w:rFonts w:cstheme="minorHAnsi"/>
          <w:b/>
          <w:bCs/>
          <w:sz w:val="24"/>
          <w:szCs w:val="24"/>
          <w:lang w:val="en-US"/>
        </w:rPr>
        <w:t xml:space="preserve">i </w:t>
      </w:r>
      <w:r w:rsidR="00F86D16" w:rsidRPr="000F78DF">
        <w:rPr>
          <w:rFonts w:cstheme="minorHAnsi"/>
          <w:b/>
          <w:bCs/>
          <w:sz w:val="24"/>
          <w:szCs w:val="24"/>
          <w:lang w:val="en-US"/>
        </w:rPr>
        <w:t xml:space="preserve">fundit për të aplikuar </w:t>
      </w:r>
      <w:r w:rsidR="006375A3">
        <w:rPr>
          <w:rFonts w:cstheme="minorHAnsi"/>
          <w:b/>
          <w:bCs/>
          <w:sz w:val="24"/>
          <w:szCs w:val="24"/>
          <w:lang w:val="en-US"/>
        </w:rPr>
        <w:t>24</w:t>
      </w:r>
      <w:r w:rsidR="00F86D16">
        <w:rPr>
          <w:rFonts w:cstheme="minorHAnsi"/>
          <w:b/>
          <w:bCs/>
          <w:sz w:val="24"/>
          <w:szCs w:val="24"/>
          <w:lang w:val="en-US"/>
        </w:rPr>
        <w:t>/0</w:t>
      </w:r>
      <w:r w:rsidR="006375A3">
        <w:rPr>
          <w:rFonts w:cstheme="minorHAnsi"/>
          <w:b/>
          <w:bCs/>
          <w:sz w:val="24"/>
          <w:szCs w:val="24"/>
          <w:lang w:val="en-US"/>
        </w:rPr>
        <w:t>2</w:t>
      </w:r>
      <w:r w:rsidR="00F86D16">
        <w:rPr>
          <w:rFonts w:cstheme="minorHAnsi"/>
          <w:b/>
          <w:bCs/>
          <w:sz w:val="24"/>
          <w:szCs w:val="24"/>
          <w:lang w:val="en-US"/>
        </w:rPr>
        <w:t>/2026</w:t>
      </w:r>
    </w:p>
    <w:p w14:paraId="68D74287" w14:textId="2D056293" w:rsidR="00D05091" w:rsidRDefault="00D05091" w:rsidP="00D05091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A7F5B6D" w14:textId="252029A2" w:rsidR="00D05091" w:rsidRPr="00D05091" w:rsidRDefault="00D05091" w:rsidP="00D05091">
      <w:pPr>
        <w:tabs>
          <w:tab w:val="left" w:pos="5820"/>
        </w:tabs>
      </w:pPr>
    </w:p>
    <w:sectPr w:rsidR="00D05091" w:rsidRPr="00D0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0D1A"/>
    <w:multiLevelType w:val="hybridMultilevel"/>
    <w:tmpl w:val="BB30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FBD"/>
    <w:multiLevelType w:val="multilevel"/>
    <w:tmpl w:val="2B6A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C7B3C"/>
    <w:multiLevelType w:val="multilevel"/>
    <w:tmpl w:val="E2F4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F3A91"/>
    <w:multiLevelType w:val="multilevel"/>
    <w:tmpl w:val="124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526636">
    <w:abstractNumId w:val="1"/>
  </w:num>
  <w:num w:numId="2" w16cid:durableId="1684093057">
    <w:abstractNumId w:val="2"/>
  </w:num>
  <w:num w:numId="3" w16cid:durableId="571738634">
    <w:abstractNumId w:val="3"/>
  </w:num>
  <w:num w:numId="4" w16cid:durableId="101287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81"/>
    <w:rsid w:val="00037B3B"/>
    <w:rsid w:val="00166DB5"/>
    <w:rsid w:val="00383A83"/>
    <w:rsid w:val="00455381"/>
    <w:rsid w:val="00584AF0"/>
    <w:rsid w:val="00617662"/>
    <w:rsid w:val="006375A3"/>
    <w:rsid w:val="006E6926"/>
    <w:rsid w:val="00757276"/>
    <w:rsid w:val="007C3C40"/>
    <w:rsid w:val="00885532"/>
    <w:rsid w:val="00A278A9"/>
    <w:rsid w:val="00B43701"/>
    <w:rsid w:val="00BB0853"/>
    <w:rsid w:val="00C4745E"/>
    <w:rsid w:val="00CD6335"/>
    <w:rsid w:val="00D05091"/>
    <w:rsid w:val="00DB1289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2374"/>
  <w15:chartTrackingRefBased/>
  <w15:docId w15:val="{9389FE45-2FC2-4CA0-934C-4ECB5CAD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89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381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89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B1289"/>
    <w:pPr>
      <w:spacing w:after="0"/>
    </w:pPr>
    <w:rPr>
      <w:rFonts w:ascii="Arial" w:eastAsia="Times New Roman" w:hAnsi="Arial" w:cs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DB1289"/>
    <w:rPr>
      <w:rFonts w:ascii="Arial" w:eastAsia="Times New Roman" w:hAnsi="Arial" w:cs="Times New Roman"/>
      <w:b/>
      <w:bCs/>
      <w:kern w:val="0"/>
      <w:sz w:val="20"/>
      <w:szCs w:val="20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84AF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7662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asypay.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82D6F5BB42409B3074C075C03091" ma:contentTypeVersion="13" ma:contentTypeDescription="Create a new document." ma:contentTypeScope="" ma:versionID="6d1cc6ca36ac59ecb857eac7de26a9e7">
  <xsd:schema xmlns:xsd="http://www.w3.org/2001/XMLSchema" xmlns:xs="http://www.w3.org/2001/XMLSchema" xmlns:p="http://schemas.microsoft.com/office/2006/metadata/properties" xmlns:ns2="cf8ee174-aab2-4a69-8e1a-c7ccdeab5ada" xmlns:ns3="4fc1d615-2b66-42e1-8d92-29f55b6f7b55" targetNamespace="http://schemas.microsoft.com/office/2006/metadata/properties" ma:root="true" ma:fieldsID="2723bf9b276e8cb46041714a9b6edda1" ns2:_="" ns3:_="">
    <xsd:import namespace="cf8ee174-aab2-4a69-8e1a-c7ccdeab5ada"/>
    <xsd:import namespace="4fc1d615-2b66-42e1-8d92-29f55b6f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174-aab2-4a69-8e1a-c7ccdeab5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c5b3a8-9d5c-46ff-b38e-35ee9dc9c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d615-2b66-42e1-8d92-29f55b6f7b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729a0-caed-46c8-bde9-b86bb6add571}" ma:internalName="TaxCatchAll" ma:showField="CatchAllData" ma:web="4fc1d615-2b66-42e1-8d92-29f55b6f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1d615-2b66-42e1-8d92-29f55b6f7b55" xsi:nil="true"/>
    <lcf76f155ced4ddcb4097134ff3c332f xmlns="cf8ee174-aab2-4a69-8e1a-c7ccdeab5a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A0C90-895C-4996-9DC5-17789A1D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174-aab2-4a69-8e1a-c7ccdeab5ada"/>
    <ds:schemaRef ds:uri="4fc1d615-2b66-42e1-8d92-29f55b6f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A1E26-9316-4E49-904B-7B5A8BF4F7CC}">
  <ds:schemaRefs>
    <ds:schemaRef ds:uri="http://schemas.microsoft.com/office/2006/metadata/properties"/>
    <ds:schemaRef ds:uri="http://schemas.microsoft.com/office/infopath/2007/PartnerControls"/>
    <ds:schemaRef ds:uri="4fc1d615-2b66-42e1-8d92-29f55b6f7b55"/>
    <ds:schemaRef ds:uri="cf8ee174-aab2-4a69-8e1a-c7ccdeab5ada"/>
  </ds:schemaRefs>
</ds:datastoreItem>
</file>

<file path=customXml/itemProps3.xml><?xml version="1.0" encoding="utf-8"?>
<ds:datastoreItem xmlns:ds="http://schemas.openxmlformats.org/officeDocument/2006/customXml" ds:itemID="{D625E62E-AFC6-42FA-880A-0A582FDC1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Jorida Metalla</dc:creator>
  <cp:keywords/>
  <dc:description/>
  <cp:lastModifiedBy>Jorida Metalla</cp:lastModifiedBy>
  <cp:revision>20</cp:revision>
  <dcterms:created xsi:type="dcterms:W3CDTF">2026-02-17T15:27:00Z</dcterms:created>
  <dcterms:modified xsi:type="dcterms:W3CDTF">2026-02-17T16:06:00Z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0x010100412782D6F5BB42409B3074C075C03091</vt:lpwstr>
  </property>
  <property fmtid="{D5CDD505-2E9C-101B-9397-08002B2CF9AE}" pid="3" name="MediaServiceImageTags">
    <vt:lpwstr/>
  </property>
</Properties>
</file>